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B3" w:rsidRPr="00652BA3" w:rsidRDefault="00BB78B3" w:rsidP="00957B44">
      <w:pPr>
        <w:pStyle w:val="Ttulo"/>
        <w:numPr>
          <w:ilvl w:val="0"/>
          <w:numId w:val="4"/>
        </w:numPr>
        <w:spacing w:before="120" w:after="240"/>
        <w:ind w:left="567" w:hanging="567"/>
        <w:jc w:val="both"/>
        <w:outlineLvl w:val="0"/>
        <w:rPr>
          <w:color w:val="000080"/>
        </w:rPr>
      </w:pPr>
      <w:bookmarkStart w:id="0" w:name="_GoBack"/>
      <w:bookmarkEnd w:id="0"/>
      <w:r>
        <w:rPr>
          <w:color w:val="000080"/>
        </w:rPr>
        <w:t>El inmovilizado</w:t>
      </w:r>
    </w:p>
    <w:p w:rsidR="00BB78B3" w:rsidRPr="00652BA3" w:rsidRDefault="00BB78B3" w:rsidP="00BB78B3">
      <w:pPr>
        <w:pStyle w:val="Subttulo"/>
        <w:spacing w:before="240"/>
        <w:outlineLvl w:val="0"/>
      </w:pPr>
      <w:r w:rsidRPr="006042EC">
        <w:rPr>
          <w:color w:val="000080"/>
        </w:rPr>
        <w:t>OBJETIVOS</w:t>
      </w:r>
      <w:r w:rsidRPr="00652BA3">
        <w:t xml:space="preserve"> </w:t>
      </w:r>
    </w:p>
    <w:p w:rsidR="00BB78B3" w:rsidRPr="00833470" w:rsidRDefault="00BB78B3" w:rsidP="00BB78B3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 w:rsidRPr="00833470">
        <w:rPr>
          <w:rFonts w:eastAsia="Interstate-Light"/>
        </w:rPr>
        <w:t>Conocer las principales cuentas del inmovilizado material y de las inversiones inmobiliarias.</w:t>
      </w:r>
    </w:p>
    <w:p w:rsidR="00BB78B3" w:rsidRDefault="00BB78B3" w:rsidP="00BB78B3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 w:rsidRPr="00833470">
        <w:rPr>
          <w:rFonts w:eastAsia="Interstate-Light"/>
        </w:rPr>
        <w:t xml:space="preserve">Analizar las distintas </w:t>
      </w:r>
      <w:r>
        <w:rPr>
          <w:rFonts w:eastAsia="Interstate-Light"/>
        </w:rPr>
        <w:t>formas</w:t>
      </w:r>
      <w:r w:rsidRPr="00833470">
        <w:rPr>
          <w:rFonts w:eastAsia="Interstate-Light"/>
        </w:rPr>
        <w:t xml:space="preserve"> de adquisición y enajenación de un inmovilizado material.</w:t>
      </w:r>
    </w:p>
    <w:p w:rsidR="00BB78B3" w:rsidRPr="00833470" w:rsidRDefault="00BB78B3" w:rsidP="00BB78B3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>
        <w:rPr>
          <w:rFonts w:eastAsia="Interstate-Light"/>
        </w:rPr>
        <w:t>Diferenciar entre amortización y deterioro de valor.</w:t>
      </w:r>
    </w:p>
    <w:p w:rsidR="00BB78B3" w:rsidRPr="00833470" w:rsidRDefault="00BB78B3" w:rsidP="00BB78B3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 w:rsidRPr="00833470">
        <w:rPr>
          <w:rFonts w:eastAsia="Interstate-Light"/>
        </w:rPr>
        <w:t>Contabilizar las pérdidas de valor del inmovilizado material.</w:t>
      </w:r>
    </w:p>
    <w:p w:rsidR="00BB78B3" w:rsidRPr="00833470" w:rsidRDefault="00BB78B3" w:rsidP="00BB78B3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>
        <w:rPr>
          <w:rFonts w:eastAsia="Interstate-Light"/>
        </w:rPr>
        <w:t>A</w:t>
      </w:r>
      <w:r w:rsidRPr="00833470">
        <w:rPr>
          <w:rFonts w:eastAsia="Interstate-Light"/>
        </w:rPr>
        <w:t xml:space="preserve">plicar las normas de registro y valoración </w:t>
      </w:r>
      <w:r>
        <w:rPr>
          <w:rFonts w:eastAsia="Interstate-Light"/>
        </w:rPr>
        <w:t>del</w:t>
      </w:r>
      <w:r w:rsidRPr="00833470">
        <w:rPr>
          <w:rFonts w:eastAsia="Interstate-Light"/>
        </w:rPr>
        <w:t xml:space="preserve"> inmovilizado material.</w:t>
      </w:r>
    </w:p>
    <w:p w:rsidR="00BB78B3" w:rsidRPr="00833470" w:rsidRDefault="00BB78B3" w:rsidP="00BB78B3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>
        <w:rPr>
          <w:rFonts w:eastAsia="Interstate-Light"/>
        </w:rPr>
        <w:t>Contabilizar las operaciones sobre el</w:t>
      </w:r>
      <w:r w:rsidRPr="00833470">
        <w:rPr>
          <w:rFonts w:eastAsia="Interstate-Light"/>
        </w:rPr>
        <w:t xml:space="preserve"> inmovilizado material.</w:t>
      </w:r>
    </w:p>
    <w:p w:rsidR="00BB78B3" w:rsidRPr="00652BA3" w:rsidRDefault="00BB78B3" w:rsidP="00BB78B3">
      <w:pPr>
        <w:pStyle w:val="Subttulo"/>
        <w:spacing w:before="240"/>
        <w:outlineLvl w:val="0"/>
        <w:rPr>
          <w:color w:val="000080"/>
        </w:rPr>
      </w:pPr>
      <w:r w:rsidRPr="00652BA3">
        <w:rPr>
          <w:color w:val="000080"/>
        </w:rPr>
        <w:t>CONTENIDO</w:t>
      </w:r>
    </w:p>
    <w:p w:rsidR="00BB78B3" w:rsidRDefault="00BB78B3" w:rsidP="00BB78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Inversiones.</w:t>
      </w:r>
    </w:p>
    <w:p w:rsidR="00BB78B3" w:rsidRDefault="00BB78B3" w:rsidP="00BB78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Clasificación del inmovilizado.</w:t>
      </w:r>
    </w:p>
    <w:p w:rsidR="00BB78B3" w:rsidRPr="00652BA3" w:rsidRDefault="00BB78B3" w:rsidP="00BB78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833470">
        <w:rPr>
          <w:bCs/>
        </w:rPr>
        <w:t>El inmovilizado material</w:t>
      </w:r>
      <w:r>
        <w:rPr>
          <w:bCs/>
        </w:rPr>
        <w:t>.</w:t>
      </w:r>
    </w:p>
    <w:p w:rsidR="00BB78B3" w:rsidRDefault="00BB78B3" w:rsidP="00BB78B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833470">
        <w:rPr>
          <w:bCs/>
        </w:rPr>
        <w:t>Valoración inicial del inmovilizado material</w:t>
      </w:r>
      <w:r>
        <w:rPr>
          <w:bCs/>
        </w:rPr>
        <w:t>.</w:t>
      </w:r>
    </w:p>
    <w:p w:rsidR="00BB78B3" w:rsidRDefault="00BB78B3" w:rsidP="00BB78B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Adquisición del i</w:t>
      </w:r>
      <w:r w:rsidRPr="00833470">
        <w:rPr>
          <w:bCs/>
        </w:rPr>
        <w:t>nmovilizado material</w:t>
      </w:r>
      <w:r>
        <w:rPr>
          <w:bCs/>
        </w:rPr>
        <w:t>.</w:t>
      </w:r>
    </w:p>
    <w:p w:rsidR="00BB78B3" w:rsidRDefault="00BB78B3" w:rsidP="00BB78B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833470">
        <w:rPr>
          <w:bCs/>
        </w:rPr>
        <w:t>Fabricación del inmovilizado material</w:t>
      </w:r>
      <w:r>
        <w:rPr>
          <w:bCs/>
        </w:rPr>
        <w:t>.</w:t>
      </w:r>
    </w:p>
    <w:p w:rsidR="00BB78B3" w:rsidRDefault="00BB78B3" w:rsidP="00BB78B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833470">
        <w:rPr>
          <w:bCs/>
        </w:rPr>
        <w:t>Pérdidas de valor del inmovilizado material</w:t>
      </w:r>
      <w:r>
        <w:rPr>
          <w:bCs/>
        </w:rPr>
        <w:t>.</w:t>
      </w:r>
    </w:p>
    <w:p w:rsidR="00BB78B3" w:rsidRDefault="00BB78B3" w:rsidP="00BB78B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833470">
        <w:rPr>
          <w:bCs/>
        </w:rPr>
        <w:t>Enajenación del Inmovilizado material</w:t>
      </w:r>
      <w:r>
        <w:rPr>
          <w:bCs/>
        </w:rPr>
        <w:t>.</w:t>
      </w:r>
    </w:p>
    <w:p w:rsidR="00BB78B3" w:rsidRPr="00833470" w:rsidRDefault="00BB78B3" w:rsidP="00BB78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833470">
        <w:rPr>
          <w:bCs/>
        </w:rPr>
        <w:t>Las inversiones inmobiliarias</w:t>
      </w:r>
      <w:r>
        <w:rPr>
          <w:bCs/>
        </w:rPr>
        <w:t>.</w:t>
      </w:r>
    </w:p>
    <w:p w:rsidR="00BB78B3" w:rsidRPr="00652BA3" w:rsidRDefault="00BB78B3" w:rsidP="00BB78B3">
      <w:pPr>
        <w:pStyle w:val="Subttulo"/>
        <w:spacing w:before="360"/>
        <w:outlineLvl w:val="0"/>
        <w:rPr>
          <w:color w:val="000080"/>
        </w:rPr>
      </w:pPr>
      <w:r w:rsidRPr="00652BA3">
        <w:rPr>
          <w:color w:val="000080"/>
        </w:rPr>
        <w:t>RESULTADOS DE APRENDIZAJE Y CRITERIOS DE EVALUACIÓN</w:t>
      </w:r>
    </w:p>
    <w:p w:rsidR="00BB78B3" w:rsidRDefault="00BB78B3" w:rsidP="00BB78B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F76CE3">
        <w:rPr>
          <w:b/>
          <w:color w:val="000000"/>
        </w:rPr>
        <w:t>RA 1. Contabiliza en soporte informático los hechos contables derivados de las operaciones de trascendencia económico-financiera de una empresa, cumpliendo con los criterios</w:t>
      </w:r>
      <w:r>
        <w:rPr>
          <w:b/>
          <w:color w:val="000000"/>
        </w:rPr>
        <w:t xml:space="preserve"> </w:t>
      </w:r>
      <w:r w:rsidRPr="00F76CE3">
        <w:rPr>
          <w:b/>
          <w:color w:val="000000"/>
        </w:rPr>
        <w:t>establecidos en el Plan General de Contabilidad (PGC).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B78B3" w:rsidRPr="00F76CE3" w:rsidRDefault="00BB78B3" w:rsidP="00BB78B3">
      <w:pPr>
        <w:spacing w:line="240" w:lineRule="atLeast"/>
        <w:jc w:val="both"/>
        <w:rPr>
          <w:b/>
          <w:color w:val="000000"/>
        </w:rPr>
      </w:pPr>
      <w:r w:rsidRPr="00F76CE3">
        <w:rPr>
          <w:b/>
          <w:color w:val="000000"/>
        </w:rPr>
        <w:t>Criterios de evaluación: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>c) Se han caracterizado las definiciones y las relaciones contables fundamentales establecidas en los grupos, subgrupos y cuentas principales del PGC.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>d) Se han registrado, en asientos por partida doble, las operaciones más habituales relacionadas con los grupos de cuentas descritos anteriormente.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b/>
          <w:lang w:eastAsia="ca-ES"/>
        </w:rPr>
      </w:pPr>
      <w:r w:rsidRPr="00F76CE3">
        <w:rPr>
          <w:b/>
          <w:color w:val="000000"/>
        </w:rPr>
        <w:t>RA 3.</w:t>
      </w:r>
      <w:r w:rsidRPr="00F76CE3">
        <w:rPr>
          <w:b/>
          <w:lang w:eastAsia="ca-ES"/>
        </w:rPr>
        <w:t xml:space="preserve"> Registra contablemente las operaciones derivadas del fin del ejercicio económico a partir de la información y documentación de un ciclo económico completo, aplicando los criterios del PGC y la legislación vigente.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b/>
          <w:lang w:eastAsia="ca-ES"/>
        </w:rPr>
      </w:pPr>
    </w:p>
    <w:p w:rsidR="00BB78B3" w:rsidRPr="00F76CE3" w:rsidRDefault="00BB78B3" w:rsidP="00BB78B3">
      <w:pPr>
        <w:spacing w:line="240" w:lineRule="atLeast"/>
        <w:jc w:val="both"/>
        <w:rPr>
          <w:b/>
          <w:color w:val="000000"/>
        </w:rPr>
      </w:pPr>
      <w:r w:rsidRPr="00F76CE3">
        <w:rPr>
          <w:b/>
          <w:color w:val="000000"/>
        </w:rPr>
        <w:t>Criterios de evaluación: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>b) Se han calculado y contabilizado las correcciones de valor que procedan.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>c) Se han reconocido los métodos de amortización más habituales.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>d) Se han realizado los cálculos derivados de la amortización del inmovilizado.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>e) Se han dotado las amortizaciones que procedan según la amortización técnica propuesta.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</w:p>
    <w:p w:rsidR="00656F1D" w:rsidRDefault="00656F1D"/>
    <w:sectPr w:rsidR="00656F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D1" w:rsidRDefault="00DA77D1" w:rsidP="00BB78B3">
      <w:r>
        <w:separator/>
      </w:r>
    </w:p>
  </w:endnote>
  <w:endnote w:type="continuationSeparator" w:id="0">
    <w:p w:rsidR="00DA77D1" w:rsidRDefault="00DA77D1" w:rsidP="00BB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D1" w:rsidRDefault="00DA77D1" w:rsidP="00BB78B3">
      <w:r>
        <w:separator/>
      </w:r>
    </w:p>
  </w:footnote>
  <w:footnote w:type="continuationSeparator" w:id="0">
    <w:p w:rsidR="00DA77D1" w:rsidRDefault="00DA77D1" w:rsidP="00BB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B3" w:rsidRPr="003920F5" w:rsidRDefault="00106A0E" w:rsidP="00BB78B3">
    <w:pPr>
      <w:pStyle w:val="Encabezado"/>
      <w:rPr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4350385</wp:posOffset>
          </wp:positionH>
          <wp:positionV relativeFrom="paragraph">
            <wp:posOffset>-280035</wp:posOffset>
          </wp:positionV>
          <wp:extent cx="1981200" cy="714375"/>
          <wp:effectExtent l="0" t="0" r="0" b="9525"/>
          <wp:wrapSquare wrapText="bothSides"/>
          <wp:docPr id="2" name="Imagen 2" descr="Logo macmillan educ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macmillan educ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8B3">
      <w:rPr>
        <w:noProof/>
        <w:sz w:val="20"/>
      </w:rPr>
      <w:t xml:space="preserve">Contabilidad y </w:t>
    </w:r>
    <w:r w:rsidR="00BB2436">
      <w:rPr>
        <w:noProof/>
        <w:sz w:val="20"/>
      </w:rPr>
      <w:t>F</w:t>
    </w:r>
    <w:r w:rsidR="00BB78B3">
      <w:rPr>
        <w:noProof/>
        <w:sz w:val="20"/>
      </w:rPr>
      <w:t>iscalidad</w:t>
    </w:r>
  </w:p>
  <w:p w:rsidR="00BB78B3" w:rsidRDefault="00390989" w:rsidP="00BB78B3">
    <w:pPr>
      <w:pStyle w:val="Encabezado"/>
      <w:rPr>
        <w:sz w:val="20"/>
      </w:rPr>
    </w:pPr>
    <w:r>
      <w:rPr>
        <w:sz w:val="20"/>
      </w:rPr>
      <w:t>Programaciones</w:t>
    </w:r>
    <w:r w:rsidR="00BB78B3" w:rsidRPr="003920F5">
      <w:rPr>
        <w:sz w:val="20"/>
      </w:rPr>
      <w:t xml:space="preserve"> de aula</w:t>
    </w:r>
  </w:p>
  <w:p w:rsidR="00BB78B3" w:rsidRDefault="00BB78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574"/>
    <w:multiLevelType w:val="hybridMultilevel"/>
    <w:tmpl w:val="FAA0584C"/>
    <w:lvl w:ilvl="0" w:tplc="6CD46CD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6664353"/>
    <w:multiLevelType w:val="hybridMultilevel"/>
    <w:tmpl w:val="1A72C656"/>
    <w:lvl w:ilvl="0" w:tplc="B59CB0C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842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80360F"/>
    <w:multiLevelType w:val="hybridMultilevel"/>
    <w:tmpl w:val="5C06C4AE"/>
    <w:lvl w:ilvl="0" w:tplc="330E26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B3"/>
    <w:rsid w:val="00106A0E"/>
    <w:rsid w:val="00390989"/>
    <w:rsid w:val="00656F1D"/>
    <w:rsid w:val="00957B44"/>
    <w:rsid w:val="00BB2436"/>
    <w:rsid w:val="00BB78B3"/>
    <w:rsid w:val="00DA77D1"/>
    <w:rsid w:val="00F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D336FE-EC91-4032-9585-6211EB23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B78B3"/>
    <w:pPr>
      <w:jc w:val="center"/>
    </w:pPr>
    <w:rPr>
      <w:b/>
      <w:sz w:val="40"/>
      <w:szCs w:val="32"/>
    </w:rPr>
  </w:style>
  <w:style w:type="character" w:customStyle="1" w:styleId="TtuloCar">
    <w:name w:val="Título Car"/>
    <w:basedOn w:val="Fuentedeprrafopredeter"/>
    <w:link w:val="Ttulo"/>
    <w:rsid w:val="00BB78B3"/>
    <w:rPr>
      <w:rFonts w:ascii="Times New Roman" w:eastAsia="Times New Roman" w:hAnsi="Times New Roman" w:cs="Times New Roman"/>
      <w:b/>
      <w:sz w:val="40"/>
      <w:szCs w:val="32"/>
      <w:lang w:eastAsia="es-ES"/>
    </w:rPr>
  </w:style>
  <w:style w:type="paragraph" w:styleId="Subttulo">
    <w:name w:val="Subtitle"/>
    <w:basedOn w:val="Normal"/>
    <w:link w:val="SubttuloCar"/>
    <w:qFormat/>
    <w:rsid w:val="00BB78B3"/>
    <w:pPr>
      <w:pBdr>
        <w:bottom w:val="single" w:sz="4" w:space="1" w:color="auto"/>
      </w:pBdr>
      <w:spacing w:after="240"/>
      <w:jc w:val="both"/>
    </w:pPr>
    <w:rPr>
      <w:b/>
    </w:rPr>
  </w:style>
  <w:style w:type="character" w:customStyle="1" w:styleId="SubttuloCar">
    <w:name w:val="Subtítulo Car"/>
    <w:basedOn w:val="Fuentedeprrafopredeter"/>
    <w:link w:val="Subttulo"/>
    <w:rsid w:val="00BB78B3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BB7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78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7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B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Begoña Bernad</cp:lastModifiedBy>
  <cp:revision>6</cp:revision>
  <dcterms:created xsi:type="dcterms:W3CDTF">2019-11-24T19:35:00Z</dcterms:created>
  <dcterms:modified xsi:type="dcterms:W3CDTF">2020-01-16T10:37:00Z</dcterms:modified>
</cp:coreProperties>
</file>